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62E01" w14:textId="1AAEC739" w:rsidR="00B45076" w:rsidRPr="0057536E" w:rsidRDefault="00F048F2">
      <w:pPr>
        <w:rPr>
          <w:b/>
        </w:rPr>
      </w:pPr>
      <w:r>
        <w:rPr>
          <w:b/>
        </w:rPr>
        <w:t xml:space="preserve">Probability </w:t>
      </w:r>
      <w:r w:rsidR="0057536E" w:rsidRPr="0057536E">
        <w:rPr>
          <w:b/>
        </w:rPr>
        <w:t>of premature (</w:t>
      </w:r>
      <w:r>
        <w:rPr>
          <w:b/>
        </w:rPr>
        <w:t xml:space="preserve">defined as </w:t>
      </w:r>
      <w:bookmarkStart w:id="0" w:name="_GoBack"/>
      <w:bookmarkEnd w:id="0"/>
      <w:r w:rsidR="0057536E" w:rsidRPr="0057536E">
        <w:rPr>
          <w:b/>
        </w:rPr>
        <w:t xml:space="preserve">between </w:t>
      </w:r>
      <w:r>
        <w:rPr>
          <w:b/>
        </w:rPr>
        <w:t xml:space="preserve">ages </w:t>
      </w:r>
      <w:r w:rsidR="0057536E" w:rsidRPr="0057536E">
        <w:rPr>
          <w:b/>
        </w:rPr>
        <w:t xml:space="preserve">30-70 years) death from NCD in per cent </w:t>
      </w:r>
      <w:r>
        <w:rPr>
          <w:b/>
        </w:rPr>
        <w:t>in countries of Asia and the Pacific</w:t>
      </w:r>
    </w:p>
    <w:p w14:paraId="32E9E0AC" w14:textId="74B6FD97" w:rsidR="0057536E" w:rsidRPr="00D43079" w:rsidRDefault="0057536E">
      <w:pPr>
        <w:rPr>
          <w:i/>
        </w:rPr>
      </w:pPr>
      <w:bookmarkStart w:id="1" w:name="_Hlk798180"/>
      <w:r w:rsidRPr="00D43079">
        <w:rPr>
          <w:i/>
        </w:rPr>
        <w:t>Source</w:t>
      </w:r>
      <w:r w:rsidR="00D43079">
        <w:t>: World Health Organization (2018</w:t>
      </w:r>
      <w:proofErr w:type="gramStart"/>
      <w:r w:rsidR="00D43079">
        <w:t xml:space="preserve">)  </w:t>
      </w:r>
      <w:r w:rsidR="00D43079">
        <w:rPr>
          <w:i/>
        </w:rPr>
        <w:t>NCD</w:t>
      </w:r>
      <w:proofErr w:type="gramEnd"/>
      <w:r w:rsidR="00D43079">
        <w:rPr>
          <w:i/>
        </w:rPr>
        <w:t xml:space="preserve"> Country Profiles 2018 </w:t>
      </w:r>
    </w:p>
    <w:bookmarkEnd w:id="1"/>
    <w:p w14:paraId="05579D68" w14:textId="0D3E60F2" w:rsidR="0057536E" w:rsidRDefault="0057536E"/>
    <w:p w14:paraId="2D19E64D" w14:textId="60C8635B" w:rsidR="0057536E" w:rsidRDefault="0057536E">
      <w:r>
        <w:rPr>
          <w:noProof/>
        </w:rPr>
        <w:drawing>
          <wp:inline distT="0" distB="0" distL="0" distR="0" wp14:anchorId="02988FED" wp14:editId="31D61FDC">
            <wp:extent cx="4572000" cy="4986339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DD27ADD-A4C5-4D57-88D2-88A379D8C4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5753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6E"/>
    <w:rsid w:val="0057536E"/>
    <w:rsid w:val="00A55A2B"/>
    <w:rsid w:val="00AF416D"/>
    <w:rsid w:val="00B45076"/>
    <w:rsid w:val="00D43079"/>
    <w:rsid w:val="00F0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203C"/>
  <w15:chartTrackingRefBased/>
  <w15:docId w15:val="{9F7FCFDE-DE19-419A-8AB2-03B80CA3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'3 Probability premature deat'!$A$1:$A$26</c:f>
              <c:strCache>
                <c:ptCount val="26"/>
                <c:pt idx="0">
                  <c:v>Australia </c:v>
                </c:pt>
                <c:pt idx="1">
                  <c:v>New Zealand</c:v>
                </c:pt>
                <c:pt idx="2">
                  <c:v>Thailand</c:v>
                </c:pt>
                <c:pt idx="3">
                  <c:v>China</c:v>
                </c:pt>
                <c:pt idx="4">
                  <c:v>Malaysia </c:v>
                </c:pt>
                <c:pt idx="5">
                  <c:v>Sri Lanka</c:v>
                </c:pt>
                <c:pt idx="6">
                  <c:v>Vietnam</c:v>
                </c:pt>
                <c:pt idx="7">
                  <c:v>Timor Leste</c:v>
                </c:pt>
                <c:pt idx="8">
                  <c:v>Cambodia</c:v>
                </c:pt>
                <c:pt idx="9">
                  <c:v>Samoa </c:v>
                </c:pt>
                <c:pt idx="10">
                  <c:v>Bangladesh</c:v>
                </c:pt>
                <c:pt idx="11">
                  <c:v>Nepal </c:v>
                </c:pt>
                <c:pt idx="12">
                  <c:v>Bhutan</c:v>
                </c:pt>
                <c:pt idx="13">
                  <c:v>India</c:v>
                </c:pt>
                <c:pt idx="14">
                  <c:v>Tonga </c:v>
                </c:pt>
                <c:pt idx="15">
                  <c:v>Vanuatu </c:v>
                </c:pt>
                <c:pt idx="16">
                  <c:v>Myanmar</c:v>
                </c:pt>
                <c:pt idx="17">
                  <c:v>Solomon Islands</c:v>
                </c:pt>
                <c:pt idx="18">
                  <c:v>Pakistan</c:v>
                </c:pt>
                <c:pt idx="19">
                  <c:v>Indonesia</c:v>
                </c:pt>
                <c:pt idx="20">
                  <c:v>Micronesia </c:v>
                </c:pt>
                <c:pt idx="21">
                  <c:v>Laos</c:v>
                </c:pt>
                <c:pt idx="22">
                  <c:v>Philippines</c:v>
                </c:pt>
                <c:pt idx="23">
                  <c:v>Kiribati </c:v>
                </c:pt>
                <c:pt idx="24">
                  <c:v>Papua New Guinea</c:v>
                </c:pt>
                <c:pt idx="25">
                  <c:v>Fiji</c:v>
                </c:pt>
              </c:strCache>
            </c:strRef>
          </c:cat>
          <c:val>
            <c:numRef>
              <c:f>'3 Probability premature deat'!$B$1:$B$26</c:f>
              <c:numCache>
                <c:formatCode>General</c:formatCode>
                <c:ptCount val="26"/>
                <c:pt idx="0">
                  <c:v>9</c:v>
                </c:pt>
                <c:pt idx="1">
                  <c:v>10</c:v>
                </c:pt>
                <c:pt idx="2">
                  <c:v>14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20</c:v>
                </c:pt>
                <c:pt idx="8">
                  <c:v>21</c:v>
                </c:pt>
                <c:pt idx="9">
                  <c:v>21</c:v>
                </c:pt>
                <c:pt idx="10">
                  <c:v>22</c:v>
                </c:pt>
                <c:pt idx="11">
                  <c:v>22</c:v>
                </c:pt>
                <c:pt idx="12">
                  <c:v>23</c:v>
                </c:pt>
                <c:pt idx="13">
                  <c:v>23</c:v>
                </c:pt>
                <c:pt idx="14">
                  <c:v>23</c:v>
                </c:pt>
                <c:pt idx="15">
                  <c:v>23</c:v>
                </c:pt>
                <c:pt idx="16">
                  <c:v>24</c:v>
                </c:pt>
                <c:pt idx="17">
                  <c:v>24</c:v>
                </c:pt>
                <c:pt idx="18">
                  <c:v>25</c:v>
                </c:pt>
                <c:pt idx="19">
                  <c:v>26</c:v>
                </c:pt>
                <c:pt idx="20">
                  <c:v>26</c:v>
                </c:pt>
                <c:pt idx="21">
                  <c:v>27</c:v>
                </c:pt>
                <c:pt idx="22">
                  <c:v>27</c:v>
                </c:pt>
                <c:pt idx="23">
                  <c:v>28</c:v>
                </c:pt>
                <c:pt idx="24">
                  <c:v>30</c:v>
                </c:pt>
                <c:pt idx="25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69-4D94-B65A-8587AA1A66C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653221376"/>
        <c:axId val="653221704"/>
      </c:barChart>
      <c:catAx>
        <c:axId val="653221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3221704"/>
        <c:crosses val="autoZero"/>
        <c:auto val="1"/>
        <c:lblAlgn val="ctr"/>
        <c:lblOffset val="100"/>
        <c:noMultiLvlLbl val="0"/>
      </c:catAx>
      <c:valAx>
        <c:axId val="653221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/>
                  <a:t>Risk of premature (30-70</a:t>
                </a:r>
                <a:r>
                  <a:rPr lang="en-AU" baseline="0"/>
                  <a:t> years) death from NCD in %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53221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2</cp:revision>
  <cp:lastPrinted>2019-02-11T06:23:00Z</cp:lastPrinted>
  <dcterms:created xsi:type="dcterms:W3CDTF">2019-03-06T04:32:00Z</dcterms:created>
  <dcterms:modified xsi:type="dcterms:W3CDTF">2019-03-06T04:32:00Z</dcterms:modified>
</cp:coreProperties>
</file>